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venir Book" w:cs="Avenir Book" w:eastAsia="Avenir Book" w:hAnsi="Avenir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ndara" w:cs="Candara" w:eastAsia="Candara" w:hAnsi="Candara"/>
          <w:b w:val="1"/>
          <w:i w:val="1"/>
          <w:color w:val="00a6b6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b w:val="1"/>
          <w:color w:val="00a6b6"/>
          <w:sz w:val="32"/>
          <w:szCs w:val="32"/>
          <w:rtl w:val="0"/>
        </w:rPr>
        <w:t xml:space="preserve">~ Saving The Craving ~ Worksheet #1 - September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Candara" w:cs="Candara" w:eastAsia="Candara" w:hAnsi="Candara"/>
          <w:i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i w:val="1"/>
          <w:sz w:val="28"/>
          <w:szCs w:val="28"/>
          <w:rtl w:val="0"/>
        </w:rPr>
        <w:t xml:space="preserve">Hello lady! No editing of yourself required – just be honest and jot down your answers.    This info is for you – for your own self-awareness and learning. No judgement required!    Jot down your answers and then hop on over to the tutorial for this month’s learning and tools.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What’s your go to breakfast you have most days?  How do you feel after? </w:t>
      </w: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What’s your go to lunch you have most days?  How do you feel after? </w:t>
      </w: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What’s your go to dinner you have most days?  How do you feel after? </w:t>
      </w:r>
      <w:r w:rsidDel="00000000" w:rsidR="00000000" w:rsidRPr="00000000">
        <w:rPr>
          <w:rtl w:val="0"/>
        </w:rPr>
      </w:r>
    </w:p>
    <w:tbl>
      <w:tblPr>
        <w:tblStyle w:val="Table3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Talk snacks.  What are your “good” snacks &amp; what are your ”bad” snacks? </w:t>
      </w:r>
    </w:p>
    <w:tbl>
      <w:tblPr>
        <w:tblStyle w:val="Table4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When do you REALLY fall off the wagon foodwise? Hangovers? Holidays? Bad Days? Mother In Law visits? </w:t>
      </w:r>
    </w:p>
    <w:tbl>
      <w:tblPr>
        <w:tblStyle w:val="Table5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Open Sans SemiBold" w:cs="Open Sans SemiBold" w:eastAsia="Open Sans SemiBold" w:hAnsi="Open Sans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When is your willpower weakest food wise?  What happens?! Be honest now. </w:t>
      </w:r>
    </w:p>
    <w:tbl>
      <w:tblPr>
        <w:tblStyle w:val="Table6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 foods do you CRAVE? Like craaavveeee….must have!</w:t>
      </w:r>
    </w:p>
    <w:tbl>
      <w:tblPr>
        <w:tblStyle w:val="Table7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 foods do you tend to over eat?</w:t>
      </w:r>
    </w:p>
    <w:tbl>
      <w:tblPr>
        <w:tblStyle w:val="Table8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76" w:lineRule="auto"/>
        <w:rPr>
          <w:rFonts w:ascii="Candara" w:cs="Candara" w:eastAsia="Candara" w:hAnsi="Candara"/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sz w:val="28"/>
          <w:szCs w:val="28"/>
          <w:rtl w:val="0"/>
        </w:rPr>
        <w:t xml:space="preserve">What do you “pop and can’t stop”…which foods will you just keep going and going with? You know you are not really hungry but the whole packet just sort of…goes….</w:t>
      </w:r>
    </w:p>
    <w:tbl>
      <w:tblPr>
        <w:tblStyle w:val="Table9"/>
        <w:tblW w:w="10466.0" w:type="dxa"/>
        <w:jc w:val="left"/>
        <w:tblInd w:w="566.9291338582677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c>
          <w:tcPr>
            <w:tcMar>
              <w:top w:w="566.9291338582677" w:type="dxa"/>
              <w:left w:w="566.9291338582677" w:type="dxa"/>
              <w:bottom w:w="566.9291338582677" w:type="dxa"/>
              <w:right w:w="566.9291338582677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rFonts w:ascii="Candara" w:cs="Candara" w:eastAsia="Candara" w:hAnsi="Candara"/>
          <w:i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i w:val="1"/>
          <w:sz w:val="28"/>
          <w:szCs w:val="28"/>
          <w:rtl w:val="0"/>
        </w:rPr>
        <w:t xml:space="preserve">Good work Sugar (pun intended</w:t>
      </w: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🙂</w:t>
      </w:r>
      <w:r w:rsidDel="00000000" w:rsidR="00000000" w:rsidRPr="00000000">
        <w:rPr>
          <w:rFonts w:ascii="Candara" w:cs="Candara" w:eastAsia="Candara" w:hAnsi="Candara"/>
          <w:i w:val="1"/>
          <w:sz w:val="28"/>
          <w:szCs w:val="28"/>
          <w:rtl w:val="0"/>
        </w:rPr>
        <w:t xml:space="preserve">)! </w:t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Fonts w:ascii="Candara" w:cs="Candara" w:eastAsia="Candara" w:hAnsi="Candara"/>
          <w:i w:val="1"/>
          <w:sz w:val="28"/>
          <w:szCs w:val="28"/>
          <w:rtl w:val="0"/>
        </w:rPr>
        <w:t xml:space="preserve">Now rock your sweet self on over to the tutorial and let’s make some magic happen!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i w:val="1"/>
          <w:sz w:val="28"/>
          <w:szCs w:val="28"/>
        </w:rPr>
        <w:drawing>
          <wp:inline distB="114300" distT="114300" distL="114300" distR="114300">
            <wp:extent cx="1077750" cy="649941"/>
            <wp:effectExtent b="0" l="0" r="0" t="0"/>
            <wp:docPr descr="Signature_sml-220px.jpg" id="1" name="image1.jpg"/>
            <a:graphic>
              <a:graphicData uri="http://schemas.openxmlformats.org/drawingml/2006/picture">
                <pic:pic>
                  <pic:nvPicPr>
                    <pic:cNvPr descr="Signature_sml-220px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7750" cy="6499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/>
      <w:pgMar w:bottom="720.0000000000001" w:top="720.0000000000001" w:left="720.0000000000001" w:right="720.0000000000001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rebuchet MS"/>
  <w:font w:name="Avenir Book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0460"/>
      </w:tabs>
      <w:rPr>
        <w:rFonts w:ascii="Candara" w:cs="Candara" w:eastAsia="Candara" w:hAnsi="Candara"/>
      </w:rPr>
    </w:pPr>
    <w:bookmarkStart w:colFirst="0" w:colLast="0" w:name="_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2020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right" w:pos="10460"/>
      </w:tabs>
      <w:rPr>
        <w:rFonts w:ascii="Candara" w:cs="Candara" w:eastAsia="Candara" w:hAnsi="Candara"/>
      </w:rPr>
    </w:pPr>
    <w:bookmarkStart w:colFirst="0" w:colLast="0" w:name="_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2020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  <w:r w:rsidDel="00000000" w:rsidR="00000000" w:rsidRPr="00000000">
      <w:fldChar w:fldCharType="begin"/>
      <w:instrText xml:space="preserve"> HYPERLINK "http://www.louisethompson.com" </w:instrText>
      <w:fldChar w:fldCharType="separate"/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70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-66674</wp:posOffset>
          </wp:positionV>
          <wp:extent cx="7628796" cy="254317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3238" l="0" r="0" t="3238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